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20" w:rsidRDefault="00663220" w:rsidP="00663220">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Министерство образования и науки Российской Федерации (Минобрнауки России)</w:t>
      </w:r>
    </w:p>
    <w:p w:rsidR="00663220" w:rsidRDefault="00663220" w:rsidP="00663220">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Департамент общего образования</w:t>
      </w:r>
    </w:p>
    <w:p w:rsidR="00663220" w:rsidRDefault="00663220" w:rsidP="00663220">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28 февраля 2014 год № 08-249</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 </w:t>
      </w:r>
    </w:p>
    <w:p w:rsidR="00663220" w:rsidRDefault="00663220" w:rsidP="00663220">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Комментарии к ФГОС дошкольного образования</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Приложение: на л. в 1 экз.</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Заместитель директора Департамента                                                                                                                                             Ю.В. Смирнова</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w:t>
      </w:r>
    </w:p>
    <w:p w:rsidR="00663220" w:rsidRDefault="00663220" w:rsidP="00663220">
      <w:pPr>
        <w:pStyle w:val="a3"/>
        <w:spacing w:before="225" w:beforeAutospacing="0" w:after="225" w:afterAutospacing="0"/>
        <w:jc w:val="right"/>
        <w:rPr>
          <w:rFonts w:ascii="Arial" w:hAnsi="Arial" w:cs="Arial"/>
          <w:color w:val="444444"/>
          <w:sz w:val="21"/>
          <w:szCs w:val="21"/>
        </w:rPr>
      </w:pPr>
      <w:r>
        <w:rPr>
          <w:rStyle w:val="a4"/>
          <w:rFonts w:ascii="Arial" w:hAnsi="Arial" w:cs="Arial"/>
          <w:color w:val="444444"/>
          <w:sz w:val="21"/>
          <w:szCs w:val="21"/>
        </w:rPr>
        <w:t>Приложение</w:t>
      </w:r>
    </w:p>
    <w:p w:rsidR="00663220" w:rsidRDefault="00663220" w:rsidP="00663220">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Комментарии к федеральному государственному образовательному стандарту дошкольного образования</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 пункта 1.3. подпункта 2</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ребёнка перед содержанием Программы на том или ином этапе её освоения в группе детей, например, при появлении ребёнка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ребёнка, а не на содержание текущего этапа Программы.</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lastRenderedPageBreak/>
        <w:t>Комментарии к разделу II пункта 2.2.</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2.5.</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Употреблённый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w:t>
      </w:r>
      <w:r>
        <w:rPr>
          <w:rFonts w:ascii="Arial" w:hAnsi="Arial" w:cs="Arial"/>
          <w:color w:val="444444"/>
          <w:sz w:val="21"/>
          <w:szCs w:val="21"/>
        </w:rPr>
        <w:lastRenderedPageBreak/>
        <w:t>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2.7. (первый абзац)</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2.9. (второй абзац)</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Данная статья ФГОС ДО подчеркивает взаимодополняющий характер детского развития в пяти образовательных областях.</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2.10.</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w:t>
      </w:r>
      <w:r>
        <w:rPr>
          <w:rFonts w:ascii="Arial" w:hAnsi="Arial" w:cs="Arial"/>
          <w:color w:val="444444"/>
          <w:sz w:val="21"/>
          <w:szCs w:val="21"/>
        </w:rPr>
        <w:lastRenderedPageBreak/>
        <w:t>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3.1.</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3.2.2. и к 3.4.4.</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Федеральным законом от 24 ноября 1995 г. №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3.2.3.</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w:t>
      </w:r>
      <w:r>
        <w:rPr>
          <w:rFonts w:ascii="Arial" w:hAnsi="Arial" w:cs="Arial"/>
          <w:color w:val="444444"/>
          <w:sz w:val="21"/>
          <w:szCs w:val="21"/>
        </w:rPr>
        <w:lastRenderedPageBreak/>
        <w:t>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оптимизация работы с группой детей.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lastRenderedPageBreak/>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3.2.4.</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тяжелыми нарушениями речи – 6 и 10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фонетико-фонематическими нарушениями речи в возрасте старше 3 лет – 12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глухих детей - 6 детей для обеих возрастных групп;</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слабослышащих детей - 6 и 8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слепых детей – 6 детей для обеих возрастных групп;</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слабовидящих детей, для детей с амблиопией, косоглазием – 6 и 8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нарушениями опорно-двигательного аппарата – 6 и 8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задержкой психического развития – 6 и 10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умственной отсталостью легкой степени – 6 и 10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умственной отсталостью умеренной, тяжелой в возрасте старше 3 лет – 8 детей;</w:t>
      </w:r>
    </w:p>
    <w:p w:rsidR="00663220" w:rsidRDefault="00663220" w:rsidP="00663220">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аутизмом только в возрасте старше 3 лет – 5 детей;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lastRenderedPageBreak/>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Рекомендуемое количество детей в группах комбинированной направленности: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а) до 3 лет – не более 10 детей, в том числе не более 3 детей ограниченными возможностями здоровья;</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б) старше 3 лет:</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не более 17 детей, в том числе не более 5 детей с задержкой психического развития.</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3.2.6. подпункта 1</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3.2.7.</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(приказ Минобрнауки России от 20 сентября 2013 г. № 1082 «Об утверждении Положения о психолого-медико-педагогической комиссии»).</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3.3.5.</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w:t>
      </w:r>
      <w:r>
        <w:rPr>
          <w:rFonts w:ascii="Arial" w:hAnsi="Arial" w:cs="Arial"/>
          <w:color w:val="444444"/>
          <w:sz w:val="21"/>
          <w:szCs w:val="21"/>
        </w:rPr>
        <w:lastRenderedPageBreak/>
        <w:t>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3.4.1.</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разработке плана (программы) воспитательной работы;</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w:t>
      </w:r>
      <w:r>
        <w:rPr>
          <w:rFonts w:ascii="Arial" w:hAnsi="Arial" w:cs="Arial"/>
          <w:color w:val="444444"/>
          <w:sz w:val="21"/>
          <w:szCs w:val="21"/>
        </w:rPr>
        <w:lastRenderedPageBreak/>
        <w:t>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пунктов 3.4.3. и 3.4.4.</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З.6.</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 08-1408.</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IV пункта 4.3.</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663220" w:rsidRDefault="00663220" w:rsidP="00663220">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IV пункта 4.5.</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663220" w:rsidRDefault="00663220" w:rsidP="0066322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556F99" w:rsidRDefault="00556F99">
      <w:bookmarkStart w:id="0" w:name="_GoBack"/>
      <w:bookmarkEnd w:id="0"/>
    </w:p>
    <w:sectPr w:rsidR="00556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20"/>
    <w:rsid w:val="00556F99"/>
    <w:rsid w:val="0066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4741</Words>
  <Characters>27026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2021-10-26T01:03:00Z</dcterms:created>
  <dcterms:modified xsi:type="dcterms:W3CDTF">2021-10-26T01:04:00Z</dcterms:modified>
</cp:coreProperties>
</file>